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D4F880" w14:textId="41C5842D" w:rsidR="00D51381" w:rsidRDefault="00DA7D28">
      <w:r>
        <w:rPr>
          <w:noProof/>
        </w:rPr>
        <w:drawing>
          <wp:inline distT="0" distB="0" distL="0" distR="0" wp14:anchorId="516C95A0" wp14:editId="62042531">
            <wp:extent cx="2447321"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0789" cy="572879"/>
                    </a:xfrm>
                    <a:prstGeom prst="rect">
                      <a:avLst/>
                    </a:prstGeom>
                  </pic:spPr>
                </pic:pic>
              </a:graphicData>
            </a:graphic>
          </wp:inline>
        </w:drawing>
      </w:r>
    </w:p>
    <w:p w14:paraId="284E547E" w14:textId="77777777" w:rsidR="00D51381" w:rsidRDefault="00D51381"/>
    <w:p w14:paraId="4A6D4C51" w14:textId="10E5D8A8" w:rsidR="00D51381" w:rsidRPr="00DA7D28" w:rsidRDefault="00663E3E">
      <w:r w:rsidRPr="00663E3E">
        <w:t>https://ttpsc.com/en/pressroom/</w:t>
      </w:r>
    </w:p>
    <w:p w14:paraId="70B5AE2B" w14:textId="5CB56C10" w:rsidR="00DA7D28" w:rsidRDefault="00DA7D28"/>
    <w:p w14:paraId="36FF8325" w14:textId="3AD14B10" w:rsidR="00663E3E" w:rsidRPr="00DA7D28" w:rsidRDefault="00663E3E">
      <w:r>
        <w:rPr>
          <w:noProof/>
        </w:rPr>
        <w:drawing>
          <wp:inline distT="0" distB="0" distL="0" distR="0" wp14:anchorId="0A397224" wp14:editId="18AD676B">
            <wp:extent cx="6858000" cy="30613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061335"/>
                    </a:xfrm>
                    <a:prstGeom prst="rect">
                      <a:avLst/>
                    </a:prstGeom>
                  </pic:spPr>
                </pic:pic>
              </a:graphicData>
            </a:graphic>
          </wp:inline>
        </w:drawing>
      </w:r>
    </w:p>
    <w:p w14:paraId="7C3887CC" w14:textId="77777777" w:rsidR="00D51381" w:rsidRDefault="00D51381"/>
    <w:p w14:paraId="7709E4D9" w14:textId="77777777" w:rsidR="00663E3E" w:rsidRDefault="00663E3E" w:rsidP="00663E3E">
      <w:pPr>
        <w:jc w:val="center"/>
        <w:rPr>
          <w:b/>
          <w:sz w:val="48"/>
          <w:lang w:val="en-US"/>
        </w:rPr>
      </w:pPr>
    </w:p>
    <w:p w14:paraId="1FBE8F27" w14:textId="2F269AB5" w:rsidR="00D51381" w:rsidRPr="00663E3E" w:rsidRDefault="00DA7D28" w:rsidP="00663E3E">
      <w:pPr>
        <w:jc w:val="center"/>
        <w:rPr>
          <w:b/>
          <w:sz w:val="48"/>
          <w:lang w:val="en-US"/>
        </w:rPr>
      </w:pPr>
      <w:r w:rsidRPr="00663E3E">
        <w:rPr>
          <w:b/>
          <w:sz w:val="48"/>
          <w:lang w:val="en-US"/>
        </w:rPr>
        <w:t>About Transition Technologies PSC</w:t>
      </w:r>
    </w:p>
    <w:p w14:paraId="6C869053" w14:textId="77777777" w:rsidR="00D51381" w:rsidRPr="00663E3E" w:rsidRDefault="00D51381">
      <w:pPr>
        <w:rPr>
          <w:lang w:val="en-US"/>
        </w:rPr>
      </w:pPr>
    </w:p>
    <w:p w14:paraId="35F26BC6" w14:textId="77777777" w:rsidR="00D51381" w:rsidRPr="00663E3E" w:rsidRDefault="00D51381">
      <w:pPr>
        <w:rPr>
          <w:lang w:val="en-US"/>
        </w:rPr>
      </w:pPr>
    </w:p>
    <w:p w14:paraId="2895562B" w14:textId="77777777" w:rsidR="00663E3E" w:rsidRPr="00663E3E" w:rsidRDefault="00663E3E" w:rsidP="00663E3E">
      <w:pPr>
        <w:pStyle w:val="NormalnyWeb"/>
        <w:jc w:val="both"/>
        <w:rPr>
          <w:rFonts w:ascii="Arial" w:hAnsi="Arial" w:cs="Arial"/>
          <w:sz w:val="24"/>
          <w:szCs w:val="24"/>
        </w:rPr>
      </w:pPr>
      <w:r w:rsidRPr="00663E3E">
        <w:rPr>
          <w:rFonts w:ascii="Arial" w:hAnsi="Arial" w:cs="Arial"/>
          <w:sz w:val="24"/>
          <w:szCs w:val="24"/>
        </w:rPr>
        <w:t>With more than 600 technology specialists in IoT, Cloud, Augmented Reality, Machine Learning, Enterprise PLM and other value chain technologies, TT PSC works with many of the world’s most familiar companies to create and implement solutions that improve the way products are designed, manufactured, operated, and maintained. Through 23 offices on 3 continents, TT PSC serves  customers in the Capital Equipment, Energy, Pharmaceutical, Medical Device, Automotive, Consumer goods, Communications and High-Tech sectors. TT PSC is a partner of PTC, Inc. since 2005, and a long-term partner of many multinational corporations (</w:t>
      </w:r>
      <w:r w:rsidRPr="00663E3E">
        <w:rPr>
          <w:rFonts w:ascii="Arial" w:hAnsi="Arial" w:cs="Arial"/>
          <w:sz w:val="24"/>
          <w:szCs w:val="24"/>
          <w:shd w:val="clear" w:color="auto" w:fill="FFFFFF"/>
        </w:rPr>
        <w:t>including </w:t>
      </w:r>
      <w:r w:rsidRPr="00663E3E">
        <w:rPr>
          <w:rStyle w:val="Pogrubienie"/>
          <w:rFonts w:ascii="Arial" w:hAnsi="Arial" w:cs="Arial"/>
          <w:sz w:val="24"/>
          <w:szCs w:val="24"/>
          <w:shd w:val="clear" w:color="auto" w:fill="FFFFFF"/>
        </w:rPr>
        <w:t>Microsoft, Google, Atlassian, Rockwell Automation, AWS, Azure, Synopsys, RealWear)</w:t>
      </w:r>
      <w:r w:rsidRPr="00663E3E">
        <w:rPr>
          <w:rFonts w:ascii="Arial" w:hAnsi="Arial" w:cs="Arial"/>
          <w:sz w:val="24"/>
          <w:szCs w:val="24"/>
        </w:rPr>
        <w:t xml:space="preserve">, supporting their strategies and business plans with leading technologies and business solutions. </w:t>
      </w:r>
    </w:p>
    <w:p w14:paraId="4400894A" w14:textId="519D4387" w:rsidR="00DA7D28" w:rsidRPr="00663E3E" w:rsidRDefault="00663E3E" w:rsidP="00663E3E">
      <w:pPr>
        <w:pStyle w:val="NormalnyWeb"/>
        <w:jc w:val="both"/>
        <w:rPr>
          <w:rFonts w:ascii="Arial" w:hAnsi="Arial" w:cs="Arial"/>
          <w:sz w:val="24"/>
          <w:szCs w:val="24"/>
        </w:rPr>
      </w:pPr>
      <w:r w:rsidRPr="00663E3E">
        <w:rPr>
          <w:rFonts w:ascii="Arial" w:hAnsi="Arial" w:cs="Arial"/>
          <w:sz w:val="24"/>
          <w:szCs w:val="24"/>
        </w:rPr>
        <w:t xml:space="preserve">TT PSC is a member of the Transition Technologies Group (TT). For more than 28 years the 2000+ Software Engineers, IT Architects and System Programmers of TT have been providing the world’s highest levels of technology solutions and services to customers in the continuous process and discrete manufacturing industry sectors. </w:t>
      </w:r>
    </w:p>
    <w:p w14:paraId="7F8CFD13" w14:textId="5ED5CCAB" w:rsidR="00DA7D28" w:rsidRPr="00663E3E" w:rsidRDefault="00DA7D28">
      <w:pPr>
        <w:rPr>
          <w:lang w:val="en-US"/>
        </w:rPr>
      </w:pPr>
    </w:p>
    <w:p w14:paraId="1636C2E5" w14:textId="219F96F3" w:rsidR="00DA7D28" w:rsidRDefault="00DA7D28"/>
    <w:sectPr w:rsidR="00DA7D28">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81"/>
    <w:rsid w:val="00663E3E"/>
    <w:rsid w:val="00D51381"/>
    <w:rsid w:val="00DA7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FD31"/>
  <w15:docId w15:val="{B74483C0-B8C5-443C-9C73-86303726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pl-PL" w:eastAsia="pl-PL"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spacing w:after="120"/>
      <w:contextualSpacing/>
      <w:outlineLvl w:val="0"/>
    </w:pPr>
    <w:rPr>
      <w:rFonts w:ascii="Palatino" w:eastAsia="Palatino" w:hAnsi="Palatino" w:cs="Palatino"/>
      <w:sz w:val="36"/>
    </w:rPr>
  </w:style>
  <w:style w:type="paragraph" w:styleId="Nagwek2">
    <w:name w:val="heading 2"/>
    <w:basedOn w:val="Normalny"/>
    <w:next w:val="Normalny"/>
    <w:uiPriority w:val="9"/>
    <w:semiHidden/>
    <w:unhideWhenUsed/>
    <w:qFormat/>
    <w:pPr>
      <w:spacing w:before="120" w:after="160"/>
      <w:contextualSpacing/>
      <w:outlineLvl w:val="1"/>
    </w:pPr>
    <w:rPr>
      <w:b/>
      <w:sz w:val="26"/>
    </w:rPr>
  </w:style>
  <w:style w:type="paragraph" w:styleId="Nagwek3">
    <w:name w:val="heading 3"/>
    <w:basedOn w:val="Normalny"/>
    <w:next w:val="Normalny"/>
    <w:uiPriority w:val="9"/>
    <w:semiHidden/>
    <w:unhideWhenUsed/>
    <w:qFormat/>
    <w:pPr>
      <w:spacing w:before="120" w:after="160"/>
      <w:contextualSpacing/>
      <w:outlineLvl w:val="2"/>
    </w:pPr>
    <w:rPr>
      <w:b/>
      <w:i/>
      <w:color w:val="666666"/>
      <w:sz w:val="24"/>
    </w:rPr>
  </w:style>
  <w:style w:type="paragraph" w:styleId="Nagwek4">
    <w:name w:val="heading 4"/>
    <w:basedOn w:val="Normalny"/>
    <w:next w:val="Normalny"/>
    <w:uiPriority w:val="9"/>
    <w:semiHidden/>
    <w:unhideWhenUsed/>
    <w:qFormat/>
    <w:pPr>
      <w:spacing w:before="120" w:after="120"/>
      <w:contextualSpacing/>
      <w:outlineLvl w:val="3"/>
    </w:pPr>
    <w:rPr>
      <w:rFonts w:ascii="Palatino" w:eastAsia="Palatino" w:hAnsi="Palatino" w:cs="Palatino"/>
      <w:b/>
      <w:sz w:val="24"/>
    </w:rPr>
  </w:style>
  <w:style w:type="paragraph" w:styleId="Nagwek5">
    <w:name w:val="heading 5"/>
    <w:basedOn w:val="Normalny"/>
    <w:next w:val="Normalny"/>
    <w:uiPriority w:val="9"/>
    <w:semiHidden/>
    <w:unhideWhenUsed/>
    <w:qFormat/>
    <w:pPr>
      <w:spacing w:before="120" w:after="120"/>
      <w:contextualSpacing/>
      <w:outlineLvl w:val="4"/>
    </w:pPr>
    <w:rPr>
      <w:b/>
      <w:sz w:val="22"/>
    </w:rPr>
  </w:style>
  <w:style w:type="paragraph" w:styleId="Nagwek6">
    <w:name w:val="heading 6"/>
    <w:basedOn w:val="Normalny"/>
    <w:next w:val="Normalny"/>
    <w:uiPriority w:val="9"/>
    <w:semiHidden/>
    <w:unhideWhenUsed/>
    <w:qFormat/>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ytu">
    <w:name w:val="Title"/>
    <w:basedOn w:val="Normalny"/>
    <w:next w:val="Normalny"/>
    <w:uiPriority w:val="10"/>
    <w:qFormat/>
    <w:pPr>
      <w:contextualSpacing/>
    </w:pPr>
    <w:rPr>
      <w:rFonts w:ascii="Palatino" w:eastAsia="Palatino" w:hAnsi="Palatino" w:cs="Palatino"/>
      <w:sz w:val="60"/>
    </w:rPr>
  </w:style>
  <w:style w:type="paragraph" w:styleId="Podtytu">
    <w:name w:val="Subtitle"/>
    <w:basedOn w:val="Normalny"/>
    <w:next w:val="Normalny"/>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NormalnyWeb">
    <w:name w:val="Normal (Web)"/>
    <w:basedOn w:val="Normalny"/>
    <w:uiPriority w:val="99"/>
    <w:unhideWhenUsed/>
    <w:rsid w:val="00663E3E"/>
    <w:pPr>
      <w:spacing w:before="100" w:beforeAutospacing="1" w:after="100" w:afterAutospacing="1" w:line="240" w:lineRule="auto"/>
    </w:pPr>
    <w:rPr>
      <w:rFonts w:ascii="Calibri" w:eastAsiaTheme="minorHAnsi" w:hAnsi="Calibri" w:cs="Calibri"/>
      <w:color w:val="auto"/>
      <w:sz w:val="22"/>
      <w:szCs w:val="22"/>
      <w:lang w:val="en-US" w:eastAsia="en-US"/>
    </w:rPr>
  </w:style>
  <w:style w:type="character" w:styleId="Pogrubienie">
    <w:name w:val="Strong"/>
    <w:basedOn w:val="Domylnaczcionkaakapitu"/>
    <w:uiPriority w:val="22"/>
    <w:qFormat/>
    <w:rsid w:val="00663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1046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d31811ff598a2b1885a9994b0afaf361aad62ea83bfbf943611b1035680a4dafgrupa-kapitalowa-transition-techn20210330-20197-bdgqru.docx</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d31811ff598a2b1885a9994b0afaf361aad62ea83bfbf943611b1035680a4dafgrupa-kapitalowa-transition-techn20210330-20197-bdgqru.docx</dc:title>
  <dc:creator>Anna Michalska</dc:creator>
  <cp:lastModifiedBy>Anna Michalska</cp:lastModifiedBy>
  <cp:revision>2</cp:revision>
  <dcterms:created xsi:type="dcterms:W3CDTF">2021-03-30T11:55:00Z</dcterms:created>
  <dcterms:modified xsi:type="dcterms:W3CDTF">2021-03-30T11:55:00Z</dcterms:modified>
</cp:coreProperties>
</file>