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4F880" w14:textId="41C5842D" w:rsidR="00D51381" w:rsidRPr="005C4F61" w:rsidRDefault="00DA7D28">
      <w:pPr>
        <w:rPr>
          <w:lang w:val="fr-FR"/>
        </w:rPr>
      </w:pPr>
      <w:r w:rsidRPr="005C4F61">
        <w:rPr>
          <w:noProof/>
          <w:lang w:val="fr-FR"/>
        </w:rPr>
        <w:drawing>
          <wp:inline distT="0" distB="0" distL="0" distR="0" wp14:anchorId="516C95A0" wp14:editId="62042531">
            <wp:extent cx="2447321" cy="565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89" cy="57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547E" w14:textId="77777777" w:rsidR="00D51381" w:rsidRPr="005C4F61" w:rsidRDefault="00D51381">
      <w:pPr>
        <w:rPr>
          <w:lang w:val="fr-FR"/>
        </w:rPr>
      </w:pPr>
    </w:p>
    <w:p w14:paraId="4A6D4C51" w14:textId="10E5D8A8" w:rsidR="00D51381" w:rsidRPr="005C4F61" w:rsidRDefault="00663E3E">
      <w:pPr>
        <w:rPr>
          <w:lang w:val="fr-FR"/>
        </w:rPr>
      </w:pPr>
      <w:r w:rsidRPr="005C4F61">
        <w:rPr>
          <w:lang w:val="fr-FR"/>
        </w:rPr>
        <w:t>https://ttpsc.com/en/pressroom/</w:t>
      </w:r>
    </w:p>
    <w:p w14:paraId="70B5AE2B" w14:textId="5CB56C10" w:rsidR="00DA7D28" w:rsidRPr="005C4F61" w:rsidRDefault="00DA7D28">
      <w:pPr>
        <w:rPr>
          <w:lang w:val="fr-FR"/>
        </w:rPr>
      </w:pPr>
    </w:p>
    <w:p w14:paraId="36FF8325" w14:textId="3AD14B10" w:rsidR="00663E3E" w:rsidRPr="005C4F61" w:rsidRDefault="00663E3E">
      <w:pPr>
        <w:rPr>
          <w:lang w:val="fr-FR"/>
        </w:rPr>
      </w:pPr>
      <w:r w:rsidRPr="005C4F61">
        <w:rPr>
          <w:noProof/>
          <w:lang w:val="fr-FR"/>
        </w:rPr>
        <w:drawing>
          <wp:inline distT="0" distB="0" distL="0" distR="0" wp14:anchorId="0A397224" wp14:editId="18AD676B">
            <wp:extent cx="6858000" cy="30613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87CC" w14:textId="77777777" w:rsidR="00D51381" w:rsidRPr="005C4F61" w:rsidRDefault="00D51381">
      <w:pPr>
        <w:rPr>
          <w:lang w:val="fr-FR"/>
        </w:rPr>
      </w:pPr>
    </w:p>
    <w:p w14:paraId="7709E4D9" w14:textId="77777777" w:rsidR="00663E3E" w:rsidRPr="005C4F61" w:rsidRDefault="00663E3E" w:rsidP="00663E3E">
      <w:pPr>
        <w:jc w:val="center"/>
        <w:rPr>
          <w:b/>
          <w:sz w:val="48"/>
          <w:lang w:val="fr-FR"/>
        </w:rPr>
      </w:pPr>
    </w:p>
    <w:p w14:paraId="1FBE8F27" w14:textId="43306678" w:rsidR="00D51381" w:rsidRPr="005C4F61" w:rsidRDefault="005C4F61" w:rsidP="00663E3E">
      <w:pPr>
        <w:jc w:val="center"/>
        <w:rPr>
          <w:b/>
          <w:sz w:val="48"/>
          <w:lang w:val="fr-FR"/>
        </w:rPr>
      </w:pPr>
      <w:r w:rsidRPr="005C4F61">
        <w:rPr>
          <w:b/>
          <w:sz w:val="48"/>
          <w:lang w:val="fr-FR"/>
        </w:rPr>
        <w:t>A propos de</w:t>
      </w:r>
      <w:r w:rsidR="00DA7D28" w:rsidRPr="005C4F61">
        <w:rPr>
          <w:b/>
          <w:sz w:val="48"/>
          <w:lang w:val="fr-FR"/>
        </w:rPr>
        <w:t xml:space="preserve"> Transition Technologies PSC</w:t>
      </w:r>
    </w:p>
    <w:p w14:paraId="6C869053" w14:textId="77777777" w:rsidR="00D51381" w:rsidRPr="005C4F61" w:rsidRDefault="00D51381">
      <w:pPr>
        <w:rPr>
          <w:lang w:val="fr-FR"/>
        </w:rPr>
      </w:pPr>
    </w:p>
    <w:p w14:paraId="35F26BC6" w14:textId="77777777" w:rsidR="00D51381" w:rsidRPr="005C4F61" w:rsidRDefault="00D51381">
      <w:pPr>
        <w:rPr>
          <w:lang w:val="fr-FR"/>
        </w:rPr>
      </w:pPr>
    </w:p>
    <w:p w14:paraId="4400894A" w14:textId="44AE6108" w:rsidR="00DA7D28" w:rsidRPr="001B3A07" w:rsidRDefault="005C4F61" w:rsidP="00663E3E">
      <w:pPr>
        <w:pStyle w:val="NormalnyWeb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Avec plus de 600 </w:t>
      </w:r>
      <w:r w:rsidR="00BB7E2F">
        <w:rPr>
          <w:rFonts w:ascii="Arial" w:hAnsi="Arial" w:cs="Arial"/>
          <w:sz w:val="24"/>
          <w:szCs w:val="24"/>
          <w:lang w:val="fr-FR"/>
        </w:rPr>
        <w:t xml:space="preserve">spécialistes dans </w:t>
      </w:r>
      <w:r w:rsidR="0054601D">
        <w:rPr>
          <w:rFonts w:ascii="Arial" w:hAnsi="Arial" w:cs="Arial"/>
          <w:sz w:val="24"/>
          <w:szCs w:val="24"/>
          <w:lang w:val="fr-FR"/>
        </w:rPr>
        <w:t xml:space="preserve">les </w:t>
      </w:r>
      <w:r w:rsidR="00BB7E2F">
        <w:rPr>
          <w:rFonts w:ascii="Arial" w:hAnsi="Arial" w:cs="Arial"/>
          <w:sz w:val="24"/>
          <w:szCs w:val="24"/>
          <w:lang w:val="fr-FR"/>
        </w:rPr>
        <w:t xml:space="preserve">technologies </w:t>
      </w:r>
      <w:r w:rsidR="00BB7E2F" w:rsidRPr="001B3A07">
        <w:rPr>
          <w:rFonts w:ascii="Arial" w:hAnsi="Arial" w:cs="Arial"/>
          <w:sz w:val="24"/>
          <w:szCs w:val="24"/>
          <w:lang w:val="fr-FR"/>
        </w:rPr>
        <w:t>IoT, Cloud, Réalité Augmentée, Machine Learning</w:t>
      </w:r>
      <w:r w:rsidR="00820E8A" w:rsidRPr="001B3A07">
        <w:rPr>
          <w:rFonts w:ascii="Arial" w:hAnsi="Arial" w:cs="Arial"/>
          <w:sz w:val="24"/>
          <w:szCs w:val="24"/>
          <w:lang w:val="fr-FR"/>
        </w:rPr>
        <w:t xml:space="preserve">, PLM d’Entreprise et </w:t>
      </w:r>
      <w:r w:rsidR="004D49CA" w:rsidRPr="001B3A07">
        <w:rPr>
          <w:rFonts w:ascii="Arial" w:hAnsi="Arial" w:cs="Arial"/>
          <w:sz w:val="24"/>
          <w:szCs w:val="24"/>
          <w:lang w:val="fr-FR"/>
        </w:rPr>
        <w:t xml:space="preserve">autres technologies de la chaine de valeur, TT PSC </w:t>
      </w:r>
      <w:r w:rsidR="003B29DC" w:rsidRPr="001B3A07">
        <w:rPr>
          <w:rFonts w:ascii="Arial" w:hAnsi="Arial" w:cs="Arial"/>
          <w:sz w:val="24"/>
          <w:szCs w:val="24"/>
          <w:lang w:val="fr-FR"/>
        </w:rPr>
        <w:t xml:space="preserve">travaille avec les </w:t>
      </w:r>
      <w:r w:rsidR="00726A7C" w:rsidRPr="001B3A07">
        <w:rPr>
          <w:rFonts w:ascii="Arial" w:hAnsi="Arial" w:cs="Arial"/>
          <w:sz w:val="24"/>
          <w:szCs w:val="24"/>
          <w:lang w:val="fr-FR"/>
        </w:rPr>
        <w:t xml:space="preserve">entreprises les plus répandues </w:t>
      </w:r>
      <w:r w:rsidR="00BC2F87" w:rsidRPr="001B3A07">
        <w:rPr>
          <w:rFonts w:ascii="Arial" w:hAnsi="Arial" w:cs="Arial"/>
          <w:sz w:val="24"/>
          <w:szCs w:val="24"/>
          <w:lang w:val="fr-FR"/>
        </w:rPr>
        <w:t xml:space="preserve">pour créer et implémenter </w:t>
      </w:r>
      <w:r w:rsidR="00EE46E2" w:rsidRPr="001B3A07">
        <w:rPr>
          <w:rFonts w:ascii="Arial" w:hAnsi="Arial" w:cs="Arial"/>
          <w:sz w:val="24"/>
          <w:szCs w:val="24"/>
          <w:lang w:val="fr-FR"/>
        </w:rPr>
        <w:t xml:space="preserve">des solutions améliorant la façon de concevoir, </w:t>
      </w:r>
      <w:r w:rsidR="00B349B2" w:rsidRPr="001B3A07">
        <w:rPr>
          <w:rFonts w:ascii="Arial" w:hAnsi="Arial" w:cs="Arial"/>
          <w:sz w:val="24"/>
          <w:szCs w:val="24"/>
          <w:lang w:val="fr-FR"/>
        </w:rPr>
        <w:t xml:space="preserve">fabriquer, </w:t>
      </w:r>
      <w:r w:rsidR="00031A27" w:rsidRPr="001B3A07">
        <w:rPr>
          <w:rFonts w:ascii="Arial" w:hAnsi="Arial" w:cs="Arial"/>
          <w:sz w:val="24"/>
          <w:szCs w:val="24"/>
          <w:lang w:val="fr-FR"/>
        </w:rPr>
        <w:t>utiliser</w:t>
      </w:r>
      <w:r w:rsidR="000A276D" w:rsidRPr="001B3A07">
        <w:rPr>
          <w:rFonts w:ascii="Arial" w:hAnsi="Arial" w:cs="Arial"/>
          <w:sz w:val="24"/>
          <w:szCs w:val="24"/>
          <w:lang w:val="fr-FR"/>
        </w:rPr>
        <w:t xml:space="preserve"> et </w:t>
      </w:r>
      <w:r w:rsidR="002E0E57" w:rsidRPr="001B3A07">
        <w:rPr>
          <w:rFonts w:ascii="Arial" w:hAnsi="Arial" w:cs="Arial"/>
          <w:sz w:val="24"/>
          <w:szCs w:val="24"/>
          <w:lang w:val="fr-FR"/>
        </w:rPr>
        <w:t xml:space="preserve">maintenir des produits. </w:t>
      </w:r>
      <w:r w:rsidR="00D20E68" w:rsidRPr="001B3A07">
        <w:rPr>
          <w:rFonts w:ascii="Arial" w:hAnsi="Arial" w:cs="Arial"/>
          <w:sz w:val="24"/>
          <w:szCs w:val="24"/>
          <w:lang w:val="fr-FR"/>
        </w:rPr>
        <w:t>Depuis</w:t>
      </w:r>
      <w:r w:rsidR="004865BF" w:rsidRPr="001B3A07">
        <w:rPr>
          <w:rFonts w:ascii="Arial" w:hAnsi="Arial" w:cs="Arial"/>
          <w:sz w:val="24"/>
          <w:szCs w:val="24"/>
          <w:lang w:val="fr-FR"/>
        </w:rPr>
        <w:t xml:space="preserve"> ses 23 agences réparties sur 3 continents, </w:t>
      </w:r>
      <w:r w:rsidR="00705491" w:rsidRPr="001B3A07">
        <w:rPr>
          <w:rFonts w:ascii="Arial" w:hAnsi="Arial" w:cs="Arial"/>
          <w:sz w:val="24"/>
          <w:szCs w:val="24"/>
          <w:lang w:val="fr-FR"/>
        </w:rPr>
        <w:t xml:space="preserve">TT PSC sert des clients </w:t>
      </w:r>
      <w:r w:rsidR="001719B8" w:rsidRPr="001B3A07">
        <w:rPr>
          <w:rFonts w:ascii="Arial" w:hAnsi="Arial" w:cs="Arial"/>
          <w:sz w:val="24"/>
          <w:szCs w:val="24"/>
          <w:lang w:val="fr-FR"/>
        </w:rPr>
        <w:t xml:space="preserve">dans des secteurs variés tels que les </w:t>
      </w:r>
      <w:r w:rsidR="00C23E6C" w:rsidRPr="001B3A07">
        <w:rPr>
          <w:rFonts w:ascii="Arial" w:hAnsi="Arial" w:cs="Arial"/>
          <w:sz w:val="24"/>
          <w:szCs w:val="24"/>
          <w:lang w:val="fr-FR"/>
        </w:rPr>
        <w:t>b</w:t>
      </w:r>
      <w:r w:rsidR="001719B8" w:rsidRPr="001B3A07">
        <w:rPr>
          <w:rFonts w:ascii="Arial" w:hAnsi="Arial" w:cs="Arial"/>
          <w:sz w:val="24"/>
          <w:szCs w:val="24"/>
          <w:lang w:val="fr-FR"/>
        </w:rPr>
        <w:t xml:space="preserve">iens </w:t>
      </w:r>
      <w:r w:rsidR="000F4812" w:rsidRPr="001B3A07">
        <w:rPr>
          <w:rFonts w:ascii="Arial" w:hAnsi="Arial" w:cs="Arial"/>
          <w:sz w:val="24"/>
          <w:szCs w:val="24"/>
          <w:lang w:val="fr-FR"/>
        </w:rPr>
        <w:t>d’</w:t>
      </w:r>
      <w:r w:rsidR="00C23E6C" w:rsidRPr="001B3A07">
        <w:rPr>
          <w:rFonts w:ascii="Arial" w:hAnsi="Arial" w:cs="Arial"/>
          <w:sz w:val="24"/>
          <w:szCs w:val="24"/>
          <w:lang w:val="fr-FR"/>
        </w:rPr>
        <w:t>é</w:t>
      </w:r>
      <w:r w:rsidR="000F4812" w:rsidRPr="001B3A07">
        <w:rPr>
          <w:rFonts w:ascii="Arial" w:hAnsi="Arial" w:cs="Arial"/>
          <w:sz w:val="24"/>
          <w:szCs w:val="24"/>
          <w:lang w:val="fr-FR"/>
        </w:rPr>
        <w:t>quipement</w:t>
      </w:r>
      <w:r w:rsidR="00846CEA" w:rsidRPr="001B3A07">
        <w:rPr>
          <w:rFonts w:ascii="Arial" w:hAnsi="Arial" w:cs="Arial"/>
          <w:sz w:val="24"/>
          <w:szCs w:val="24"/>
          <w:lang w:val="fr-FR"/>
        </w:rPr>
        <w:t>, l’</w:t>
      </w:r>
      <w:r w:rsidR="00C23E6C" w:rsidRPr="001B3A07">
        <w:rPr>
          <w:rFonts w:ascii="Arial" w:hAnsi="Arial" w:cs="Arial"/>
          <w:sz w:val="24"/>
          <w:szCs w:val="24"/>
          <w:lang w:val="fr-FR"/>
        </w:rPr>
        <w:t>é</w:t>
      </w:r>
      <w:r w:rsidR="00846CEA" w:rsidRPr="001B3A07">
        <w:rPr>
          <w:rFonts w:ascii="Arial" w:hAnsi="Arial" w:cs="Arial"/>
          <w:sz w:val="24"/>
          <w:szCs w:val="24"/>
          <w:lang w:val="fr-FR"/>
        </w:rPr>
        <w:t>nergie, l</w:t>
      </w:r>
      <w:r w:rsidR="001B6E84" w:rsidRPr="001B3A07">
        <w:rPr>
          <w:rFonts w:ascii="Arial" w:hAnsi="Arial" w:cs="Arial"/>
          <w:sz w:val="24"/>
          <w:szCs w:val="24"/>
          <w:lang w:val="fr-FR"/>
        </w:rPr>
        <w:t>a</w:t>
      </w:r>
      <w:r w:rsidR="00846CEA" w:rsidRPr="001B3A07">
        <w:rPr>
          <w:rFonts w:ascii="Arial" w:hAnsi="Arial" w:cs="Arial"/>
          <w:sz w:val="24"/>
          <w:szCs w:val="24"/>
          <w:lang w:val="fr-FR"/>
        </w:rPr>
        <w:t xml:space="preserve"> </w:t>
      </w:r>
      <w:r w:rsidR="00C23E6C" w:rsidRPr="001B3A07">
        <w:rPr>
          <w:rFonts w:ascii="Arial" w:hAnsi="Arial" w:cs="Arial"/>
          <w:sz w:val="24"/>
          <w:szCs w:val="24"/>
          <w:lang w:val="fr-FR"/>
        </w:rPr>
        <w:t>p</w:t>
      </w:r>
      <w:r w:rsidR="00846CEA" w:rsidRPr="001B3A07">
        <w:rPr>
          <w:rFonts w:ascii="Arial" w:hAnsi="Arial" w:cs="Arial"/>
          <w:sz w:val="24"/>
          <w:szCs w:val="24"/>
          <w:lang w:val="fr-FR"/>
        </w:rPr>
        <w:t xml:space="preserve">harmaceutique, </w:t>
      </w:r>
      <w:r w:rsidR="00C06CE9" w:rsidRPr="001B3A07">
        <w:rPr>
          <w:rFonts w:ascii="Arial" w:hAnsi="Arial" w:cs="Arial"/>
          <w:sz w:val="24"/>
          <w:szCs w:val="24"/>
          <w:lang w:val="fr-FR"/>
        </w:rPr>
        <w:t>l’</w:t>
      </w:r>
      <w:r w:rsidR="00C23E6C" w:rsidRPr="001B3A07">
        <w:rPr>
          <w:rFonts w:ascii="Arial" w:hAnsi="Arial" w:cs="Arial"/>
          <w:sz w:val="24"/>
          <w:szCs w:val="24"/>
          <w:lang w:val="fr-FR"/>
        </w:rPr>
        <w:t>é</w:t>
      </w:r>
      <w:r w:rsidR="00C06CE9" w:rsidRPr="001B3A07">
        <w:rPr>
          <w:rFonts w:ascii="Arial" w:hAnsi="Arial" w:cs="Arial"/>
          <w:sz w:val="24"/>
          <w:szCs w:val="24"/>
          <w:lang w:val="fr-FR"/>
        </w:rPr>
        <w:t xml:space="preserve">quipement </w:t>
      </w:r>
      <w:r w:rsidR="00C23E6C" w:rsidRPr="001B3A07">
        <w:rPr>
          <w:rFonts w:ascii="Arial" w:hAnsi="Arial" w:cs="Arial"/>
          <w:sz w:val="24"/>
          <w:szCs w:val="24"/>
          <w:lang w:val="fr-FR"/>
        </w:rPr>
        <w:t>m</w:t>
      </w:r>
      <w:r w:rsidR="00C06CE9" w:rsidRPr="001B3A07">
        <w:rPr>
          <w:rFonts w:ascii="Arial" w:hAnsi="Arial" w:cs="Arial"/>
          <w:sz w:val="24"/>
          <w:szCs w:val="24"/>
          <w:lang w:val="fr-FR"/>
        </w:rPr>
        <w:t>édical, l’</w:t>
      </w:r>
      <w:r w:rsidR="001B6E84" w:rsidRPr="001B3A07">
        <w:rPr>
          <w:rFonts w:ascii="Arial" w:hAnsi="Arial" w:cs="Arial"/>
          <w:sz w:val="24"/>
          <w:szCs w:val="24"/>
          <w:lang w:val="fr-FR"/>
        </w:rPr>
        <w:t>a</w:t>
      </w:r>
      <w:r w:rsidR="00C06CE9" w:rsidRPr="001B3A07">
        <w:rPr>
          <w:rFonts w:ascii="Arial" w:hAnsi="Arial" w:cs="Arial"/>
          <w:sz w:val="24"/>
          <w:szCs w:val="24"/>
          <w:lang w:val="fr-FR"/>
        </w:rPr>
        <w:t xml:space="preserve">utomobile, </w:t>
      </w:r>
      <w:r w:rsidR="00D36436" w:rsidRPr="00D36436">
        <w:rPr>
          <w:rFonts w:ascii="Arial" w:hAnsi="Arial" w:cs="Arial"/>
          <w:sz w:val="24"/>
          <w:szCs w:val="24"/>
          <w:lang w:val="fr-FR"/>
        </w:rPr>
        <w:t>les biens de consommation</w:t>
      </w:r>
      <w:r w:rsidR="001B6E84" w:rsidRPr="001B3A07">
        <w:rPr>
          <w:rFonts w:ascii="Arial" w:hAnsi="Arial" w:cs="Arial"/>
          <w:sz w:val="24"/>
          <w:szCs w:val="24"/>
          <w:lang w:val="fr-FR"/>
        </w:rPr>
        <w:t xml:space="preserve">, les communications et les hautes technologies. </w:t>
      </w:r>
      <w:r w:rsidR="00C85C9F" w:rsidRPr="001B3A07">
        <w:rPr>
          <w:rFonts w:ascii="Arial" w:hAnsi="Arial" w:cs="Arial"/>
          <w:sz w:val="24"/>
          <w:szCs w:val="24"/>
          <w:lang w:val="fr-FR"/>
        </w:rPr>
        <w:t>TT PSC est partenaire de PTC, Inc. depuis 2005</w:t>
      </w:r>
      <w:r w:rsidR="003841FB" w:rsidRPr="001B3A07">
        <w:rPr>
          <w:rFonts w:ascii="Arial" w:hAnsi="Arial" w:cs="Arial"/>
          <w:sz w:val="24"/>
          <w:szCs w:val="24"/>
          <w:lang w:val="fr-FR"/>
        </w:rPr>
        <w:t>,</w:t>
      </w:r>
      <w:r w:rsidR="00C85C9F" w:rsidRPr="001B3A07">
        <w:rPr>
          <w:rFonts w:ascii="Arial" w:hAnsi="Arial" w:cs="Arial"/>
          <w:sz w:val="24"/>
          <w:szCs w:val="24"/>
          <w:lang w:val="fr-FR"/>
        </w:rPr>
        <w:t xml:space="preserve"> et </w:t>
      </w:r>
      <w:r w:rsidR="003841FB" w:rsidRPr="001B3A07">
        <w:rPr>
          <w:rFonts w:ascii="Arial" w:hAnsi="Arial" w:cs="Arial"/>
          <w:sz w:val="24"/>
          <w:szCs w:val="24"/>
          <w:lang w:val="fr-FR"/>
        </w:rPr>
        <w:t xml:space="preserve">partenaire </w:t>
      </w:r>
      <w:r w:rsidR="00E55088" w:rsidRPr="001B3A07">
        <w:rPr>
          <w:rFonts w:ascii="Arial" w:hAnsi="Arial" w:cs="Arial"/>
          <w:sz w:val="24"/>
          <w:szCs w:val="24"/>
          <w:lang w:val="fr-FR"/>
        </w:rPr>
        <w:t>de longue date</w:t>
      </w:r>
      <w:r w:rsidR="003841FB" w:rsidRPr="001B3A07">
        <w:rPr>
          <w:rFonts w:ascii="Arial" w:hAnsi="Arial" w:cs="Arial"/>
          <w:sz w:val="24"/>
          <w:szCs w:val="24"/>
          <w:lang w:val="fr-FR"/>
        </w:rPr>
        <w:t xml:space="preserve"> de plusieurs sociétés multinationales </w:t>
      </w:r>
      <w:r w:rsidR="00F73A94" w:rsidRPr="001B3A07">
        <w:rPr>
          <w:rFonts w:ascii="Arial" w:hAnsi="Arial" w:cs="Arial"/>
          <w:sz w:val="24"/>
          <w:szCs w:val="24"/>
          <w:lang w:val="fr-FR"/>
        </w:rPr>
        <w:t xml:space="preserve">(dont </w:t>
      </w:r>
      <w:r w:rsidR="00A54405" w:rsidRPr="001B3A07">
        <w:rPr>
          <w:rStyle w:val="Pogrubienie"/>
          <w:rFonts w:ascii="Arial" w:hAnsi="Arial" w:cs="Arial"/>
          <w:sz w:val="24"/>
          <w:szCs w:val="24"/>
          <w:shd w:val="clear" w:color="auto" w:fill="FFFFFF"/>
          <w:lang w:val="fr-FR"/>
        </w:rPr>
        <w:t>Microsoft, Google, Atlassian, Rockwell Automation, AWS, Azure, Synopsys et RealWear)</w:t>
      </w:r>
      <w:r w:rsidR="00A54405" w:rsidRPr="001B3A07">
        <w:rPr>
          <w:rFonts w:ascii="Arial" w:hAnsi="Arial" w:cs="Arial"/>
          <w:sz w:val="24"/>
          <w:szCs w:val="24"/>
          <w:lang w:val="fr-FR"/>
        </w:rPr>
        <w:t xml:space="preserve">, </w:t>
      </w:r>
      <w:r w:rsidR="00D749EA" w:rsidRPr="001B3A07">
        <w:rPr>
          <w:rFonts w:ascii="Arial" w:hAnsi="Arial" w:cs="Arial"/>
          <w:sz w:val="24"/>
          <w:szCs w:val="24"/>
          <w:lang w:val="fr-FR"/>
        </w:rPr>
        <w:t xml:space="preserve">accompagnant leurs stratégies et business plans </w:t>
      </w:r>
      <w:r w:rsidR="00341146" w:rsidRPr="001B3A07">
        <w:rPr>
          <w:rFonts w:ascii="Arial" w:hAnsi="Arial" w:cs="Arial"/>
          <w:sz w:val="24"/>
          <w:szCs w:val="24"/>
          <w:lang w:val="fr-FR"/>
        </w:rPr>
        <w:t>à l’aide de technologies et solutions de pointe. </w:t>
      </w:r>
    </w:p>
    <w:p w14:paraId="2BF63096" w14:textId="3CDF3F52" w:rsidR="002B73CC" w:rsidRPr="001B3A07" w:rsidRDefault="002B73CC" w:rsidP="00663E3E">
      <w:pPr>
        <w:pStyle w:val="NormalnyWeb"/>
        <w:jc w:val="both"/>
        <w:rPr>
          <w:rFonts w:ascii="Arial" w:hAnsi="Arial" w:cs="Arial"/>
          <w:sz w:val="24"/>
          <w:szCs w:val="24"/>
          <w:lang w:val="fr-FR"/>
        </w:rPr>
      </w:pPr>
      <w:r w:rsidRPr="001B3A07">
        <w:rPr>
          <w:rFonts w:ascii="Arial" w:hAnsi="Arial" w:cs="Arial"/>
          <w:sz w:val="24"/>
          <w:szCs w:val="24"/>
          <w:lang w:val="fr-FR"/>
        </w:rPr>
        <w:t xml:space="preserve">TT PSC est membre du Groupe Transition Technologies (TT). Depuis </w:t>
      </w:r>
      <w:r w:rsidR="0075501B" w:rsidRPr="001B3A07">
        <w:rPr>
          <w:rFonts w:ascii="Arial" w:hAnsi="Arial" w:cs="Arial"/>
          <w:sz w:val="24"/>
          <w:szCs w:val="24"/>
          <w:lang w:val="fr-FR"/>
        </w:rPr>
        <w:t>30</w:t>
      </w:r>
      <w:r w:rsidRPr="001B3A07">
        <w:rPr>
          <w:rFonts w:ascii="Arial" w:hAnsi="Arial" w:cs="Arial"/>
          <w:sz w:val="24"/>
          <w:szCs w:val="24"/>
          <w:lang w:val="fr-FR"/>
        </w:rPr>
        <w:t xml:space="preserve"> ans, </w:t>
      </w:r>
      <w:r w:rsidR="005B5F7B" w:rsidRPr="001B3A07">
        <w:rPr>
          <w:rFonts w:ascii="Arial" w:hAnsi="Arial" w:cs="Arial"/>
          <w:sz w:val="24"/>
          <w:szCs w:val="24"/>
          <w:lang w:val="fr-FR"/>
        </w:rPr>
        <w:t>ce sont plus de</w:t>
      </w:r>
      <w:r w:rsidRPr="001B3A07">
        <w:rPr>
          <w:rFonts w:ascii="Arial" w:hAnsi="Arial" w:cs="Arial"/>
          <w:sz w:val="24"/>
          <w:szCs w:val="24"/>
          <w:lang w:val="fr-FR"/>
        </w:rPr>
        <w:t xml:space="preserve"> </w:t>
      </w:r>
      <w:r w:rsidR="00927F78" w:rsidRPr="001B3A07">
        <w:rPr>
          <w:rFonts w:ascii="Arial" w:hAnsi="Arial" w:cs="Arial"/>
          <w:sz w:val="24"/>
          <w:szCs w:val="24"/>
          <w:lang w:val="fr-FR"/>
        </w:rPr>
        <w:t xml:space="preserve">2000 </w:t>
      </w:r>
      <w:r w:rsidR="000E39B2" w:rsidRPr="001B3A07">
        <w:rPr>
          <w:rFonts w:ascii="Arial" w:hAnsi="Arial" w:cs="Arial"/>
          <w:sz w:val="24"/>
          <w:szCs w:val="24"/>
          <w:lang w:val="fr-FR"/>
        </w:rPr>
        <w:t>Ingénieurs</w:t>
      </w:r>
      <w:r w:rsidR="005B5F7B" w:rsidRPr="001B3A07">
        <w:rPr>
          <w:rFonts w:ascii="Arial" w:hAnsi="Arial" w:cs="Arial"/>
          <w:sz w:val="24"/>
          <w:szCs w:val="24"/>
          <w:lang w:val="fr-FR"/>
        </w:rPr>
        <w:t xml:space="preserve"> </w:t>
      </w:r>
      <w:r w:rsidR="00D90BE6" w:rsidRPr="001B3A07">
        <w:rPr>
          <w:rFonts w:ascii="Arial" w:hAnsi="Arial" w:cs="Arial"/>
          <w:sz w:val="24"/>
          <w:szCs w:val="24"/>
          <w:lang w:val="fr-FR"/>
        </w:rPr>
        <w:t>Logiciel</w:t>
      </w:r>
      <w:r w:rsidR="008A03DC" w:rsidRPr="001B3A07">
        <w:rPr>
          <w:rFonts w:ascii="Arial" w:hAnsi="Arial" w:cs="Arial"/>
          <w:sz w:val="24"/>
          <w:szCs w:val="24"/>
          <w:lang w:val="fr-FR"/>
        </w:rPr>
        <w:t xml:space="preserve">, </w:t>
      </w:r>
      <w:r w:rsidR="007F71F6" w:rsidRPr="001B3A07">
        <w:rPr>
          <w:rFonts w:ascii="Arial" w:hAnsi="Arial" w:cs="Arial"/>
          <w:sz w:val="24"/>
          <w:szCs w:val="24"/>
          <w:lang w:val="fr-FR"/>
        </w:rPr>
        <w:t>Architectes IT et P</w:t>
      </w:r>
      <w:r w:rsidR="00796B95" w:rsidRPr="001B3A07">
        <w:rPr>
          <w:rFonts w:ascii="Arial" w:hAnsi="Arial" w:cs="Arial"/>
          <w:sz w:val="24"/>
          <w:szCs w:val="24"/>
          <w:lang w:val="fr-FR"/>
        </w:rPr>
        <w:t>rogrammeurs Système qui</w:t>
      </w:r>
      <w:r w:rsidR="00E871E2" w:rsidRPr="001B3A07">
        <w:rPr>
          <w:rFonts w:ascii="Arial" w:hAnsi="Arial" w:cs="Arial"/>
          <w:sz w:val="24"/>
          <w:szCs w:val="24"/>
          <w:lang w:val="fr-FR"/>
        </w:rPr>
        <w:t>, chez TT,</w:t>
      </w:r>
      <w:r w:rsidR="00796B95" w:rsidRPr="001B3A07">
        <w:rPr>
          <w:rFonts w:ascii="Arial" w:hAnsi="Arial" w:cs="Arial"/>
          <w:sz w:val="24"/>
          <w:szCs w:val="24"/>
          <w:lang w:val="fr-FR"/>
        </w:rPr>
        <w:t xml:space="preserve"> fournissent</w:t>
      </w:r>
      <w:r w:rsidR="00E871E2" w:rsidRPr="001B3A07">
        <w:rPr>
          <w:rFonts w:ascii="Arial" w:hAnsi="Arial" w:cs="Arial"/>
          <w:sz w:val="24"/>
          <w:szCs w:val="24"/>
          <w:lang w:val="fr-FR"/>
        </w:rPr>
        <w:t xml:space="preserve"> </w:t>
      </w:r>
      <w:r w:rsidR="00C92647" w:rsidRPr="001B3A07">
        <w:rPr>
          <w:rFonts w:ascii="Arial" w:hAnsi="Arial" w:cs="Arial"/>
          <w:sz w:val="24"/>
          <w:szCs w:val="24"/>
          <w:lang w:val="fr-FR"/>
        </w:rPr>
        <w:t xml:space="preserve">le plus haut niveau </w:t>
      </w:r>
      <w:r w:rsidR="00B24033" w:rsidRPr="001B3A07">
        <w:rPr>
          <w:rFonts w:ascii="Arial" w:hAnsi="Arial" w:cs="Arial"/>
          <w:sz w:val="24"/>
          <w:szCs w:val="24"/>
          <w:lang w:val="fr-FR"/>
        </w:rPr>
        <w:t xml:space="preserve">de </w:t>
      </w:r>
      <w:r w:rsidR="00C45D40" w:rsidRPr="001B3A07">
        <w:rPr>
          <w:rFonts w:ascii="Arial" w:hAnsi="Arial" w:cs="Arial"/>
          <w:sz w:val="24"/>
          <w:szCs w:val="24"/>
          <w:lang w:val="fr-FR"/>
        </w:rPr>
        <w:t xml:space="preserve">solutions et services technologiques à des clients </w:t>
      </w:r>
      <w:r w:rsidR="002F4677" w:rsidRPr="001B3A07">
        <w:rPr>
          <w:rFonts w:ascii="Arial" w:hAnsi="Arial" w:cs="Arial"/>
          <w:sz w:val="24"/>
          <w:szCs w:val="24"/>
          <w:lang w:val="fr-FR"/>
        </w:rPr>
        <w:t>des industries de processus continu</w:t>
      </w:r>
      <w:r w:rsidR="00234411" w:rsidRPr="001B3A07">
        <w:rPr>
          <w:rFonts w:ascii="Arial" w:hAnsi="Arial" w:cs="Arial"/>
          <w:sz w:val="24"/>
          <w:szCs w:val="24"/>
          <w:lang w:val="fr-FR"/>
        </w:rPr>
        <w:t>s</w:t>
      </w:r>
      <w:r w:rsidR="002F4677" w:rsidRPr="001B3A07">
        <w:rPr>
          <w:rFonts w:ascii="Arial" w:hAnsi="Arial" w:cs="Arial"/>
          <w:sz w:val="24"/>
          <w:szCs w:val="24"/>
          <w:lang w:val="fr-FR"/>
        </w:rPr>
        <w:t xml:space="preserve"> et </w:t>
      </w:r>
      <w:r w:rsidR="00522BA2" w:rsidRPr="001B3A07">
        <w:rPr>
          <w:rFonts w:ascii="Arial" w:hAnsi="Arial" w:cs="Arial"/>
          <w:sz w:val="24"/>
          <w:szCs w:val="24"/>
          <w:lang w:val="fr-FR"/>
        </w:rPr>
        <w:t xml:space="preserve">de fabrication de produits. </w:t>
      </w:r>
    </w:p>
    <w:p w14:paraId="1636C2E5" w14:textId="219F96F3" w:rsidR="00DA7D28" w:rsidRPr="005C4F61" w:rsidRDefault="00DA7D28">
      <w:pPr>
        <w:rPr>
          <w:lang w:val="fr-FR"/>
        </w:rPr>
      </w:pPr>
    </w:p>
    <w:sectPr w:rsidR="00DA7D28" w:rsidRPr="005C4F61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81"/>
    <w:rsid w:val="00031A27"/>
    <w:rsid w:val="000A276D"/>
    <w:rsid w:val="000E39B2"/>
    <w:rsid w:val="000F4812"/>
    <w:rsid w:val="001402CE"/>
    <w:rsid w:val="001719B8"/>
    <w:rsid w:val="001B3A07"/>
    <w:rsid w:val="001B6E84"/>
    <w:rsid w:val="00234411"/>
    <w:rsid w:val="002B73CC"/>
    <w:rsid w:val="002E0E57"/>
    <w:rsid w:val="002F4677"/>
    <w:rsid w:val="00341146"/>
    <w:rsid w:val="003841FB"/>
    <w:rsid w:val="003B29DC"/>
    <w:rsid w:val="004865BF"/>
    <w:rsid w:val="004D49CA"/>
    <w:rsid w:val="00521281"/>
    <w:rsid w:val="00522BA2"/>
    <w:rsid w:val="0054601D"/>
    <w:rsid w:val="005B5F7B"/>
    <w:rsid w:val="005C4F61"/>
    <w:rsid w:val="00663E3E"/>
    <w:rsid w:val="00705491"/>
    <w:rsid w:val="00726A7C"/>
    <w:rsid w:val="0075501B"/>
    <w:rsid w:val="007670B1"/>
    <w:rsid w:val="00796B95"/>
    <w:rsid w:val="007F71F6"/>
    <w:rsid w:val="00820E8A"/>
    <w:rsid w:val="00846CEA"/>
    <w:rsid w:val="008A03DC"/>
    <w:rsid w:val="00927F78"/>
    <w:rsid w:val="00A54405"/>
    <w:rsid w:val="00B24033"/>
    <w:rsid w:val="00B349B2"/>
    <w:rsid w:val="00BB7E2F"/>
    <w:rsid w:val="00BC2F87"/>
    <w:rsid w:val="00C06CE9"/>
    <w:rsid w:val="00C23E6C"/>
    <w:rsid w:val="00C45D40"/>
    <w:rsid w:val="00C85C9F"/>
    <w:rsid w:val="00C92647"/>
    <w:rsid w:val="00D20E68"/>
    <w:rsid w:val="00D36436"/>
    <w:rsid w:val="00D51381"/>
    <w:rsid w:val="00D749EA"/>
    <w:rsid w:val="00D90BE6"/>
    <w:rsid w:val="00DA7D28"/>
    <w:rsid w:val="00E55088"/>
    <w:rsid w:val="00E871E2"/>
    <w:rsid w:val="00EE46E2"/>
    <w:rsid w:val="00F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FD31"/>
  <w15:docId w15:val="{B74483C0-B8C5-443C-9C73-86303726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unhideWhenUsed/>
    <w:rsid w:val="00663E3E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663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A2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A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d31811ff598a2b1885a9994b0afaf361aad62ea83bfbf943611b1035680a4dafgrupa-kapitalowa-transition-techn20210330-20197-bdgqru.docx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d31811ff598a2b1885a9994b0afaf361aad62ea83bfbf943611b1035680a4dafgrupa-kapitalowa-transition-techn20210330-20197-bdgqru.docx</dc:title>
  <dc:creator>Anna Michalska</dc:creator>
  <cp:lastModifiedBy>Anna Michalska</cp:lastModifiedBy>
  <cp:revision>51</cp:revision>
  <dcterms:created xsi:type="dcterms:W3CDTF">2021-09-29T08:38:00Z</dcterms:created>
  <dcterms:modified xsi:type="dcterms:W3CDTF">2021-09-30T07:38:00Z</dcterms:modified>
</cp:coreProperties>
</file>